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1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11"/>
        <w:gridCol w:w="1765"/>
        <w:gridCol w:w="3028"/>
        <w:gridCol w:w="2107"/>
        <w:tblGridChange w:id="0">
          <w:tblGrid>
            <w:gridCol w:w="4011"/>
            <w:gridCol w:w="1765"/>
            <w:gridCol w:w="3028"/>
            <w:gridCol w:w="2107"/>
          </w:tblGrid>
        </w:tblGridChange>
      </w:tblGrid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02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vertAlign w:val="baseline"/>
                <w:rtl w:val="0"/>
              </w:rPr>
              <w:t xml:space="preserve">: Међународне студије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06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Међународно приватно право</w:t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0A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Сања Данковић Степановић, Страхи</w:t>
            </w:r>
            <w:r w:rsidDel="00000000" w:rsidR="00000000" w:rsidRPr="00000000">
              <w:rPr>
                <w:rtl w:val="0"/>
              </w:rPr>
              <w:t xml:space="preserve">ња Обреновић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0E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Обавезан</w:t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1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1A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Међународно приватно право (МПП) је научна дисциплина која за предмет изучавања има правне односе између субјеката приватног права - физичких и правних лица, у сфери породичних, наследних, стварноправних, уговорних, пословних, процесних и односа у домену накнаде штете, које одликује присуство елемента иностраности израженог  у субјекту, објекту или правима и обавезама. Као основне области изучавања јављају се: опште установе, извори и историјат МПП, држављанство, судски поступак са елементом иностраности, арбитражно решавање спорова и одређивање меродавног прав.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1F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 завршетку курса очекује се да студент поседује заокружено теоријско знање из области међународног приватног права, да познаје основна домаћа и упоредноправна решења, као и да овлада вештином примене института и правила ове дисциплине, а првенствено колизионе технике, у конкретним чињеничним случајевима. Исход учења подразумева способност правног резоновања, критичке анализе садржаја и решавање појединачних проблемских ситуација у области МПП.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24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Појам, предмет и извори МПП; Историјски развој; Колизионе норме; Примена страног права; Норме непосредне примене; Сукоб квалификација; Претходно питање; Renvoi; Јавни поредак; Fraus legis; Временски фактор у МПП; Реципроцитет и реторзија; Правна и пословна способност; Држављанство; Права странаца; Међународно грађанско процесно право; Одређивање меродавног права.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Ibidem</w:t>
            </w:r>
          </w:p>
        </w:tc>
      </w:tr>
      <w:tr>
        <w:tc>
          <w:tcPr>
            <w:gridSpan w:val="4"/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 Основна</w:t>
            </w:r>
            <w:r w:rsidDel="00000000" w:rsidR="00000000" w:rsidRPr="00000000">
              <w:rPr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1"/>
              <w:jc w:val="both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Варади T., Бернадет Б., Kнежевић Г., Павић В.: Међународно приватно право, Београд, 2016.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Допунска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Дика М., Кнежевић Г., Стојановић С.: Коментар Закона о међународном приватном и процесном праву, Београд, 1991. 2. Пак М.: Међународно приватно право, Београд, 1996. 3. Јездић М.: Међународно приватно право II, Београд, 1979. 4. Благојевић Б.: Међународно приватно право, Београд, 1950. 5. Станивуковић М., Живковић М.: Међународно приватно право - Општи део, Београд, 2015. 6. Станивуковић М., Ђундић П.: Међународно приватно право - Посебни део, Нови Сад, 2008. 7. Јакшић А.: Практикум за Међународно приватно и међународно грађанско процесно право, Београд, 2004. 8. Кнежевић Г., Павић В.: Арбитража и АДР, Београд, 2010. 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9. </w:t>
            </w:r>
            <w:r w:rsidDel="00000000" w:rsidR="00000000" w:rsidRPr="00000000">
              <w:rPr>
                <w:vertAlign w:val="baseline"/>
                <w:rtl w:val="0"/>
              </w:rPr>
              <w:t xml:space="preserve">Трајковић М.: Међународно арбитражно право, Београд, 2000.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10. Висковић Н.: Аргументација и право, Београд, 2004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vertAlign w:val="baseline"/>
                <w:rtl w:val="0"/>
              </w:rPr>
              <w:t xml:space="preserve">11. Anton A.E., Beaumont P.E.: Private International Law, London, 2011. 12. Scoles E.F., Hay P., Borchers P.J., Symeonides S.C.: Conflict of Laws, St.Paul-Minn., 2000.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5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активне наставе                                                     Теоријска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                Практична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39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предавања, вежбе, семинарски рад, есеј, студија случаја, дебата, консултације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vAlign w:val="top"/>
          </w:tcPr>
          <w:p w:rsidR="00000000" w:rsidDel="00000000" w:rsidP="00000000" w:rsidRDefault="00000000" w:rsidRPr="00000000" w14:paraId="0000003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1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5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9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D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есеј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021" w:top="1021" w:left="1588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ER8skXyUGabNSTpg3rNgTUp+Bg==">AMUW2mWCh+YNDnGnYJ0MC+SzJ1SqA7y1kjZ4Tjw9Lyi6dVPr4AngNLYFfUQyP61Wu3HcL7BlgwgetgGK00TQx8uOsZhR43aIfcHSXPM7Vhhf/S6RimoiNR8=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2021-04-08T14:28:00Z</dcterms:created>
  <dc:creator>Vera Dondur</dc:creator>
</cp:coreProperties>
</file>